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adjustRightInd w:val="0"/>
        <w:snapToGrid w:val="0"/>
        <w:spacing w:before="312" w:beforeLines="100" w:after="468" w:afterLines="150" w:line="560" w:lineRule="exact"/>
        <w:jc w:val="center"/>
        <w:rPr>
          <w:rFonts w:ascii="方正小标宋简体" w:hAnsi="黑体" w:eastAsia="方正小标宋简体"/>
          <w:sz w:val="44"/>
          <w:szCs w:val="32"/>
        </w:rPr>
      </w:pPr>
      <w:r>
        <w:rPr>
          <w:rFonts w:hint="eastAsia" w:ascii="方正小标宋简体" w:hAnsi="黑体" w:eastAsia="方正小标宋简体"/>
          <w:sz w:val="44"/>
          <w:szCs w:val="32"/>
        </w:rPr>
        <w:t>评审工作基本原则及评分标准</w:t>
      </w:r>
    </w:p>
    <w:p>
      <w:pPr>
        <w:adjustRightInd w:val="0"/>
        <w:snapToGrid w:val="0"/>
        <w:spacing w:line="7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Toc30128"/>
      <w:bookmarkStart w:id="1" w:name="_Toc32123"/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创业计划竞赛</w:t>
      </w:r>
      <w:r>
        <w:rPr>
          <w:rFonts w:ascii="仿宋_GB2312" w:eastAsia="仿宋_GB2312"/>
          <w:sz w:val="32"/>
          <w:szCs w:val="32"/>
        </w:rPr>
        <w:t>下设</w:t>
      </w:r>
      <w:r>
        <w:rPr>
          <w:rFonts w:hint="eastAsia" w:ascii="仿宋_GB2312" w:eastAsia="仿宋_GB2312"/>
          <w:sz w:val="32"/>
          <w:szCs w:val="32"/>
        </w:rPr>
        <w:t>科技创新和未来产业、乡村振兴和</w:t>
      </w:r>
      <w:r>
        <w:rPr>
          <w:rFonts w:hint="eastAsia" w:ascii="仿宋_GB2312" w:eastAsia="仿宋_GB2312"/>
          <w:sz w:val="32"/>
          <w:szCs w:val="32"/>
          <w:lang w:eastAsia="zh-CN"/>
        </w:rPr>
        <w:t>巩固</w:t>
      </w:r>
      <w:r>
        <w:rPr>
          <w:rFonts w:hint="eastAsia" w:ascii="仿宋_GB2312" w:eastAsia="仿宋_GB2312"/>
          <w:sz w:val="32"/>
          <w:szCs w:val="32"/>
        </w:rPr>
        <w:t>脱贫攻坚</w:t>
      </w:r>
      <w:r>
        <w:rPr>
          <w:rFonts w:hint="eastAsia" w:ascii="仿宋_GB2312" w:eastAsia="仿宋_GB2312"/>
          <w:sz w:val="32"/>
          <w:szCs w:val="32"/>
          <w:lang w:eastAsia="zh-CN"/>
        </w:rPr>
        <w:t>成果</w:t>
      </w:r>
      <w:r>
        <w:rPr>
          <w:rFonts w:hint="eastAsia" w:ascii="仿宋_GB2312" w:eastAsia="仿宋_GB2312"/>
          <w:sz w:val="32"/>
          <w:szCs w:val="32"/>
        </w:rPr>
        <w:t>、城市治理和社会服务、生态环保和可持续发展、文化创意和区域合作五个组别。</w:t>
      </w:r>
    </w:p>
    <w:p>
      <w:pPr>
        <w:snapToGrid w:val="0"/>
        <w:spacing w:line="7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评审过程中综合考虑作品的</w:t>
      </w:r>
      <w:r>
        <w:rPr>
          <w:rFonts w:hint="eastAsia" w:ascii="仿宋_GB2312" w:hAnsi="仿宋_GB2312" w:eastAsia="仿宋_GB2312" w:cs="仿宋_GB2312"/>
          <w:bCs/>
          <w:kern w:val="32"/>
          <w:sz w:val="32"/>
          <w:szCs w:val="32"/>
        </w:rPr>
        <w:t>操作性、应用性以及市场潜力、社会价值和发展前景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大学生创业计划竞赛面向我校在校学生，以商业计划书评审、现场答辩等作为参赛项目的主要评价内容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napToGrid w:val="0"/>
        <w:spacing w:line="7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各类作品之间评选标准是相对的。评审按百分制评出原始分，具体权重如下：</w:t>
      </w:r>
      <w:bookmarkStart w:id="2" w:name="_GoBack"/>
      <w:bookmarkEnd w:id="2"/>
    </w:p>
    <w:p>
      <w:pPr>
        <w:snapToGrid w:val="0"/>
        <w:spacing w:line="7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tbl>
      <w:tblPr>
        <w:tblStyle w:val="4"/>
        <w:tblW w:w="9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1441"/>
        <w:gridCol w:w="5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评价项目</w:t>
            </w:r>
          </w:p>
        </w:tc>
        <w:tc>
          <w:tcPr>
            <w:tcW w:w="14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参考权重</w:t>
            </w:r>
          </w:p>
        </w:tc>
        <w:tc>
          <w:tcPr>
            <w:tcW w:w="55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评价内容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5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创业机会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25分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（1）考虑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产业背景和目标顾客以及市场机会、市场需求、市场竞争环境</w:t>
            </w:r>
          </w:p>
          <w:p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（2）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项目的独创性、领先性以及实现产业化的途径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发展战略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20分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（1）考虑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商业模式、研发方向、扩张策略，合作伙伴、竞争对手</w:t>
            </w:r>
          </w:p>
          <w:p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（2）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对技术、市场、财务等问题提出合理的规避计划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营销策略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30分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考虑是否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结合项目其自身产品、技术或服务的价格定位、渠道建设、推广策略制定市场营销策略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财务管理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15分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（1）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股本结构与规模、资金来源与运用效果</w:t>
            </w:r>
          </w:p>
          <w:p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（2）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盈利能力、风险资金退出策略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团队管理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10分</w:t>
            </w:r>
          </w:p>
        </w:tc>
        <w:tc>
          <w:tcPr>
            <w:tcW w:w="5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（1）管理团队各成员介绍和成员的分工与互补</w:t>
            </w:r>
          </w:p>
          <w:p>
            <w:pPr>
              <w:snapToGrid w:val="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（2）公司组织构架、领导层成员及股权分配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92"/>
    <w:rsid w:val="00202800"/>
    <w:rsid w:val="002053CF"/>
    <w:rsid w:val="002D5E6E"/>
    <w:rsid w:val="00315727"/>
    <w:rsid w:val="0046212D"/>
    <w:rsid w:val="00556F8E"/>
    <w:rsid w:val="008C6EDE"/>
    <w:rsid w:val="008E4291"/>
    <w:rsid w:val="00DF7CDD"/>
    <w:rsid w:val="00EB3593"/>
    <w:rsid w:val="00EF25D6"/>
    <w:rsid w:val="00F44592"/>
    <w:rsid w:val="00FD0BF0"/>
    <w:rsid w:val="216A310A"/>
    <w:rsid w:val="301C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174</Words>
  <Characters>993</Characters>
  <Lines>8</Lines>
  <Paragraphs>2</Paragraphs>
  <TotalTime>1</TotalTime>
  <ScaleCrop>false</ScaleCrop>
  <LinksUpToDate>false</LinksUpToDate>
  <CharactersWithSpaces>1165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2019-06-11T05:08:00Z</dcterms:created>
  <dc:creator>asus</dc:creator>
  <cp:lastModifiedBy>Lenovo</cp:lastModifiedBy>
  <dcterms:modified xsi:type="dcterms:W3CDTF">2021-07-07T09:02:12Z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940C0B76647340E583397A3B2AD41CB0</vt:lpwstr>
  </property>
</Properties>
</file>